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image/png" PartName="/word/media/document_image_rId3.png"/>
  <Override ContentType="application/vnd.openxmlformats-officedocument.wordprocessingml.numbering+xml" PartName="/word/numbering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1bddf24" w14:textId="1bddf24">
      <w:pPr>
        <w:spacing w:after="0"/>
        <w:ind w:left="0"/>
        <w:jc w:val="left"/>
        <w15:collapsed w:val="false"/>
      </w:pPr>
      <w:r>
        <w:rPr>
          <w:rFonts w:ascii="Times New Roman"/>
          <w:b w:val="false"/>
          <w:i w:val="false"/>
          <w:color w:val="000000"/>
          <w:sz w:val="28"/>
        </w:rPr>
        <w:t>
				</w:t>
      </w:r>
      <w:r>
        <w:drawing>
          <wp:inline distT="0" distB="0" distL="0" distR="0">
            <wp:extent cx="2057400" cy="571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false"/>
          <w:i w:val="false"/>
          <w:color w:val="000000"/>
          <w:sz w:val="28"/>
        </w:rPr>
        <w:t>
					</w:t>
      </w:r>
    </w:p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  <w:sz w:val="28"/>
        </w:rPr>
        <w:t>Об утверждении Правил оценки деятельности членов наблюдательного совета и определения лимита выплаты вознаграждения членам наблюдательного совета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Приказ Министра национальной экономики Республики Казахстан от 20 февраля 2015 года № 115. Зарегистрирован в Министерстве юстиции Республики Казахстан 18 марта 2015 года № 10499.</w:t>
      </w:r>
    </w:p>
    <w:p>
      <w:pPr>
        <w:spacing w:after="0"/>
        <w:ind w:left="0"/>
        <w:jc w:val="both"/>
      </w:pPr>
      <w:bookmarkStart w:name="z1" w:id="0"/>
      <w:r>
        <w:rPr>
          <w:rFonts w:ascii="Times New Roman"/>
          <w:b w:val="false"/>
          <w:i w:val="false"/>
          <w:color w:val="000000"/>
          <w:sz w:val="28"/>
        </w:rPr>
        <w:t xml:space="preserve">
      В соответствии с </w:t>
      </w:r>
      <w:r>
        <w:rPr>
          <w:rFonts w:ascii="Times New Roman"/>
          <w:b w:val="false"/>
          <w:i w:val="false"/>
          <w:color w:val="000000"/>
          <w:sz w:val="28"/>
        </w:rPr>
        <w:t>пунктом 5</w:t>
      </w:r>
      <w:r>
        <w:rPr>
          <w:rFonts w:ascii="Times New Roman"/>
          <w:b w:val="false"/>
          <w:i w:val="false"/>
          <w:color w:val="000000"/>
          <w:sz w:val="28"/>
        </w:rPr>
        <w:t xml:space="preserve"> статьи 148 Закона Республики Казахстан "О государственном имуществе" </w:t>
      </w:r>
      <w:r>
        <w:rPr>
          <w:rFonts w:ascii="Times New Roman"/>
          <w:b/>
          <w:i w:val="false"/>
          <w:color w:val="000000"/>
          <w:sz w:val="28"/>
        </w:rPr>
        <w:t>ПРИКАЗЫВАЮ</w:t>
      </w:r>
      <w:r>
        <w:rPr>
          <w:rFonts w:ascii="Times New Roman"/>
          <w:b w:val="false"/>
          <w:i w:val="false"/>
          <w:color w:val="000000"/>
          <w:sz w:val="28"/>
        </w:rPr>
        <w:t>:</w:t>
      </w:r>
    </w:p>
    <w:bookmarkEnd w:id="0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Преамбула - в редакции приказа Министра национальной экономики РК от 24.11.2022 </w:t>
      </w:r>
      <w:r>
        <w:rPr>
          <w:rFonts w:ascii="Times New Roman"/>
          <w:b w:val="false"/>
          <w:i w:val="false"/>
          <w:color w:val="000000"/>
          <w:sz w:val="28"/>
        </w:rPr>
        <w:t>№ 87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" w:id="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1. Утвердить прилагаемые </w:t>
      </w:r>
      <w:r>
        <w:rPr>
          <w:rFonts w:ascii="Times New Roman"/>
          <w:b w:val="false"/>
          <w:i w:val="false"/>
          <w:color w:val="000000"/>
          <w:sz w:val="28"/>
        </w:rPr>
        <w:t>Правила</w:t>
      </w:r>
      <w:r>
        <w:rPr>
          <w:rFonts w:ascii="Times New Roman"/>
          <w:b w:val="false"/>
          <w:i w:val="false"/>
          <w:color w:val="000000"/>
          <w:sz w:val="28"/>
        </w:rPr>
        <w:t xml:space="preserve"> оценки деятельности членов наблюдательного совета и определения лимита выплаты вознаграждения членам наблюдательного совета.</w:t>
      </w:r>
    </w:p>
    <w:bookmarkEnd w:id="1"/>
    <w:bookmarkStart w:name="z3" w:id="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Департаменту политики управления государственными активами Министерства национальной экономики Республики Казахстан обеспечить в установленном законодательством порядке:</w:t>
      </w:r>
    </w:p>
    <w:bookmarkEnd w:id="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государственную регистрацию настоящего приказа в Министерстве юстиции Республики Казахстан;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в течение десяти календарных дней после государственной регистрации настоящего приказа его направление на официальное опубликование в периодических печатных изданиях и в информационно-правовой системе "Әділет";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размещение настоящего приказа на интернет-ресурсе Министерства национальной экономики Республики Казахстан.</w:t>
      </w:r>
    </w:p>
    <w:bookmarkStart w:name="z4" w:id="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3. Контроль за исполнением настоящего приказа возложить на курирующего вице-министра национальной экономики Республики Казахстан. </w:t>
      </w:r>
    </w:p>
    <w:bookmarkEnd w:id="3"/>
    <w:bookmarkStart w:name="z5" w:id="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Настоящий приказ вводится в действие со дня его первого официального опубликования.</w:t>
      </w:r>
    </w:p>
    <w:bookmarkEnd w:id="4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</w:tblPr>
      <w:tblGrid>
        <w:gridCol w:w="6150"/>
        <w:gridCol w:w="6150"/>
      </w:tblGrid>
      <w:tr>
        <w:trPr>
          <w:trHeight w:val="30" w:hRule="atLeast"/>
        </w:trPr>
        <w:tc>
          <w:tcPr>
            <w:tcW w:w="615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Министр</w:t>
            </w:r>
          </w:p>
        </w:tc>
        <w:tc>
          <w:tcPr>
            <w:tcW w:w="615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национальной экономики</w:t>
            </w:r>
          </w:p>
        </w:tc>
        <w:tc>
          <w:tcPr>
            <w:tcW w:w="615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  <w:tr>
        <w:trPr>
          <w:trHeight w:val="30" w:hRule="atLeast"/>
        </w:trPr>
        <w:tc>
          <w:tcPr>
            <w:tcW w:w="615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Республики Казахстан</w:t>
            </w:r>
          </w:p>
        </w:tc>
        <w:tc>
          <w:tcPr>
            <w:tcW w:w="615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Е. Досаев</w:t>
            </w:r>
          </w:p>
        </w:tc>
      </w:tr>
    </w:tbl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"СОГЛАСОВАН"  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Министр образования и науки  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Республики Казахстан  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________ А. Саринжипов  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20 февраля 2015 года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"СОГЛАСОВАН"  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Министр здравоохранения и  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социального развития  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Республики Казахстан  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________ Т. Дуйсенова  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20 февраля 2015 года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Утверждены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приказом Министра национальной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экономики 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от 20 февраля 2015 года № 115 </w:t>
            </w:r>
          </w:p>
        </w:tc>
      </w:tr>
    </w:tbl>
    <w:bookmarkStart w:name="z7" w:id="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Правила</w:t>
      </w:r>
      <w:r>
        <w:br/>
      </w:r>
      <w:r>
        <w:rPr>
          <w:rFonts w:ascii="Times New Roman"/>
          <w:b/>
          <w:i w:val="false"/>
          <w:color w:val="000000"/>
        </w:rPr>
        <w:t>оценки деятельности членов наблюдательного совета</w:t>
      </w:r>
      <w:r>
        <w:br/>
      </w:r>
      <w:r>
        <w:rPr>
          <w:rFonts w:ascii="Times New Roman"/>
          <w:b/>
          <w:i w:val="false"/>
          <w:color w:val="000000"/>
        </w:rPr>
        <w:t>и определения лимита выплаты вознаграждения</w:t>
      </w:r>
      <w:r>
        <w:br/>
      </w:r>
      <w:r>
        <w:rPr>
          <w:rFonts w:ascii="Times New Roman"/>
          <w:b/>
          <w:i w:val="false"/>
          <w:color w:val="000000"/>
        </w:rPr>
        <w:t>членам наблюдательного совета</w:t>
      </w:r>
    </w:p>
    <w:bookmarkEnd w:id="5"/>
    <w:bookmarkStart w:name="z8" w:id="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1. Общие положения</w:t>
      </w:r>
    </w:p>
    <w:bookmarkEnd w:id="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Глава 1 - в редакции приказа Министра национальной экономики РК от 24.11.2022 </w:t>
      </w:r>
      <w:r>
        <w:rPr>
          <w:rFonts w:ascii="Times New Roman"/>
          <w:b w:val="false"/>
          <w:i w:val="false"/>
          <w:color w:val="ff0000"/>
          <w:sz w:val="28"/>
        </w:rPr>
        <w:t>№ 87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9" w:id="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1. Настоящие Правила оценки деятельности членов наблюдательного совета и определения лимита выплаты вознаграждения членам наблюдательного совета (далее – Правила) разработаны в соответствии с </w:t>
      </w:r>
      <w:r>
        <w:rPr>
          <w:rFonts w:ascii="Times New Roman"/>
          <w:b w:val="false"/>
          <w:i w:val="false"/>
          <w:color w:val="000000"/>
          <w:sz w:val="28"/>
        </w:rPr>
        <w:t>пунктом 5</w:t>
      </w:r>
      <w:r>
        <w:rPr>
          <w:rFonts w:ascii="Times New Roman"/>
          <w:b w:val="false"/>
          <w:i w:val="false"/>
          <w:color w:val="000000"/>
          <w:sz w:val="28"/>
        </w:rPr>
        <w:t xml:space="preserve"> статьи 148 Закона Республики Казахстан "О государственном имуществе" и определяют порядок осуществления оценки деятельности членов наблюдательных советов в государственных предприятиях на праве хозяйственного ведения в сферах образования и здравоохранения и определения лимита выплаты вознаграждения членам наблюдательного совета.</w:t>
      </w:r>
    </w:p>
    <w:bookmarkEnd w:id="7"/>
    <w:bookmarkStart w:name="z10" w:id="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2. Порядок осуществления оценки деятельности членов наблюдательного совета</w:t>
      </w:r>
    </w:p>
    <w:bookmarkEnd w:id="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Заголовок главы 2 - в редакции приказа Министра национальной экономики РК от 24.11.2022 </w:t>
      </w:r>
      <w:r>
        <w:rPr>
          <w:rFonts w:ascii="Times New Roman"/>
          <w:b w:val="false"/>
          <w:i w:val="false"/>
          <w:color w:val="ff0000"/>
          <w:sz w:val="28"/>
        </w:rPr>
        <w:t>№ 87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11" w:id="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Оценка деятельности члена наблюдательного совета проводится ежегодно по итогам его деятельности за год в данной должности уполномоченным органом соответствующей отрасли (местным исполнительным органом).</w:t>
      </w:r>
    </w:p>
    <w:bookmarkEnd w:id="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В целях проведения оценки деятельности членов наблюдательного совета государственного предприятия на праве хозяйственного ведения уполномоченный орган соответствующей отрасли (местный исполнительный орган) создает комиссию (далее – Комиссия), состав которой формируется и утверждается уполномоченным органом соответствующей отрасли (местным исполнительным органом). </w:t>
      </w:r>
    </w:p>
    <w:bookmarkStart w:name="z12" w:id="1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3. Комиссия является коллегиальным органом. </w:t>
      </w:r>
    </w:p>
    <w:bookmarkEnd w:id="10"/>
    <w:bookmarkStart w:name="z13" w:id="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4. В состав Комиссии обязательно включается заместитель первого руководителя уполномоченного органа соответствующей отрасли (местного исполнительного органа). </w:t>
      </w:r>
    </w:p>
    <w:bookmarkEnd w:id="11"/>
    <w:bookmarkStart w:name="z14" w:id="1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5. Председателем Комиссии является заместитель первого руководителя уполномоченного органа соответствующей отрасли (местного исполнительного органа), который руководит ее деятельностью, председательствует на заседаниях Комиссии, планирует работу и осуществляет общий контроль за реализацией решений Комиссии. </w:t>
      </w:r>
    </w:p>
    <w:bookmarkEnd w:id="12"/>
    <w:bookmarkStart w:name="z15" w:id="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6. Подготовку повестки дня Комиссии, необходимых документов, материалов и оформление протокола заседания Комиссии осуществляет секретарь Комиссии, который не является членом Комиссии. </w:t>
      </w:r>
    </w:p>
    <w:bookmarkEnd w:id="13"/>
    <w:bookmarkStart w:name="z16" w:id="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Председатель Комиссии принимает решение об определении даты проведения заседания Комиссии, которое подписывается всеми членами Комиссии.</w:t>
      </w:r>
    </w:p>
    <w:bookmarkEnd w:id="14"/>
    <w:bookmarkStart w:name="z17" w:id="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8. Заседание Комиссии проводится при условии присутствия не менее двух третей от общего числа членов Комиссии, включая председателя Комиссии. </w:t>
      </w:r>
    </w:p>
    <w:bookmarkEnd w:id="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В заседании принимает участие член наблюдательного совета, оценка деятельности которого производится Комиссией. </w:t>
      </w:r>
    </w:p>
    <w:bookmarkStart w:name="z18" w:id="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9. Секретарь письменно сообщает членам Комиссии, члену наблюдательного совета о месте и времени проведения заседания Комиссии.</w:t>
      </w:r>
    </w:p>
    <w:bookmarkEnd w:id="16"/>
    <w:bookmarkStart w:name="z19" w:id="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10. По итогам заседания Комиссии составляется протокол заседания, который подписывается членами Комиссии и ее секретарем. </w:t>
      </w:r>
    </w:p>
    <w:bookmarkEnd w:id="17"/>
    <w:bookmarkStart w:name="z20" w:id="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11. В случае несогласия с решением Комиссии, любой из членов Комиссии в письменном виде излагает особое мнение, которое прилагается к протоколу заседания Комиссии. </w:t>
      </w:r>
    </w:p>
    <w:bookmarkEnd w:id="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В случае отсутствия члена Комиссии, в протоколе заседания Комиссии указывается причина его отсутствия и ссылка на документ, подтверждающий данный факт. </w:t>
      </w:r>
    </w:p>
    <w:bookmarkStart w:name="z21" w:id="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12. Оценка деятельности члена наблюдательного совета проводится следующим образом: </w:t>
      </w:r>
    </w:p>
    <w:bookmarkEnd w:id="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рассмотрение Комиссией годового отчета члена наблюдательного совета;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проведение оценки деятельности члена наблюдательного совета членами Комиссии по бальной системе;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подведение итогов оценки члена наблюдательного совета Комиссией.</w:t>
      </w:r>
    </w:p>
    <w:bookmarkStart w:name="z22" w:id="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13. Годовой отчет члена наблюдательного совета включает следующую информацию:</w:t>
      </w:r>
    </w:p>
    <w:bookmarkEnd w:id="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участие в работе наблюдательного совета;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вопросы, подготовленные членом наблюдательного совета на заседании наблюдательного совета государственного предприятия, а также принятые решения по ним, вклад в деятельность государственного предприятия принятых решений данного членом наблюдательного совета, а также влияние реализованных предложений члена наблюдательного совета по совершенствованию деятельности государственного предприятия;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выводы и предложения по развитию государственного предприятия.</w:t>
      </w:r>
    </w:p>
    <w:bookmarkStart w:name="z23" w:id="2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14. По итогам заслушивания отчетов и возникновении неясностей в таких отчетах, члены Комиссии задают вопросы члену наблюдательного совета и руководителю государственного предприятия. </w:t>
      </w:r>
    </w:p>
    <w:bookmarkEnd w:id="21"/>
    <w:bookmarkStart w:name="z24" w:id="2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15. Для оценки деятельности члена наблюдательного совета членами Комиссии используются следующие баллы: 0; 0,5; 1; 1,5; 2; 3.</w:t>
      </w:r>
    </w:p>
    <w:bookmarkEnd w:id="22"/>
    <w:bookmarkStart w:name="z25" w:id="2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16. По результатам коллегиального обсуждения членами Комиссии выставляются баллы в листе итоговой оценки деятельности члена наблюдательного совета государственного предприятия по форме согласно  </w:t>
      </w:r>
      <w:r>
        <w:rPr>
          <w:rFonts w:ascii="Times New Roman"/>
          <w:b w:val="false"/>
          <w:i w:val="false"/>
          <w:color w:val="000000"/>
          <w:sz w:val="28"/>
        </w:rPr>
        <w:t>приложению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настоящим Правилам и выводится общая сумма баллов.</w:t>
      </w:r>
    </w:p>
    <w:bookmarkEnd w:id="23"/>
    <w:bookmarkStart w:name="z26" w:id="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17. Лист итоговой оценки деятельности члена наблюдательного совета государственного предприятия содержит перечень основных показателей его деятельности.</w:t>
      </w:r>
    </w:p>
    <w:bookmarkEnd w:id="24"/>
    <w:bookmarkStart w:name="z27" w:id="2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18. Лист итоговой оценки деятельности члена наблюдательного совета подписывается председателем Комиссии, его заместителем, членами Комиссии и секретарем.</w:t>
      </w:r>
    </w:p>
    <w:bookmarkEnd w:id="25"/>
    <w:bookmarkStart w:name="z28" w:id="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19. Итоги проведения оценки деятельности члена наблюдательного совета исходят из общей суммы баллов:</w:t>
      </w:r>
    </w:p>
    <w:bookmarkEnd w:id="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от 8 до 10 баллов – член наблюдательного совета компетентен по вопросам деятельности государственного предприятия, профессионально выполняет возложенные на него функции в наблюдательном совете в интересах государственного предприятия и уполномоченного органа соответствующей отрасли (местного исполнительного органа);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от 4,5 до 7,5 баллов – член наблюдательного совета компетентен по вопросам деятельности государственного предприятия, однако не принимает активного участия в принятии основополагающих решений о государственном предприятий;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от 0 до 4 баллов – недобросовестно относится к возложенным на него обязанностям.</w:t>
      </w:r>
    </w:p>
    <w:bookmarkStart w:name="z29" w:id="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20. Оценка члена наблюдательного совета, являющегося представителем уполномоченного органа соответствующей отрасли (местного исполнительного органа) направляется Комиссией уполномоченному органу соответствующей отрасли (местному исполнительному органу) для сведения.</w:t>
      </w:r>
    </w:p>
    <w:bookmarkEnd w:id="27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20 - в редакции приказа Министра национальной экономики РК от 24.11.2022 </w:t>
      </w:r>
      <w:r>
        <w:rPr>
          <w:rFonts w:ascii="Times New Roman"/>
          <w:b w:val="false"/>
          <w:i w:val="false"/>
          <w:color w:val="000000"/>
          <w:sz w:val="28"/>
        </w:rPr>
        <w:t>№ 87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30" w:id="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21. Отчет о результатах оценки члена наблюдательного совета используется уполномоченным органом соответствующей отрасли (местным исполнительным органом) при определении размера вознаграждении члену наблюдательного совета за предыдущий период работы и определяется исходя из количества набранных баллов:</w:t>
      </w:r>
    </w:p>
    <w:bookmarkEnd w:id="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от 4,5 до 10 баллов – размер вознаграждения определяется по формуле: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S=N*10%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где: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S – размер вознаграждения (в процентах) пропорционально от лимита выплаты вознаграждения членам наблюдательного совета, определяемого уполномоченным органом соответствующей отрасли (местным исполнительным органом);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N – количество баллов;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от 0 до 4 баллов – на основании решения Комиссии вознаграждение не выплачивается с последующим проведением процедуры согласно досрочному прекращению полномочий членов наблюдательного совета Правил конкурсного отбора членов наблюдательного совета и досрочного прекращения их полномочий, утвержденных </w:t>
      </w:r>
      <w:r>
        <w:rPr>
          <w:rFonts w:ascii="Times New Roman"/>
          <w:b w:val="false"/>
          <w:i w:val="false"/>
          <w:color w:val="000000"/>
          <w:sz w:val="28"/>
        </w:rPr>
        <w:t>приказом</w:t>
      </w:r>
      <w:r>
        <w:rPr>
          <w:rFonts w:ascii="Times New Roman"/>
          <w:b w:val="false"/>
          <w:i w:val="false"/>
          <w:color w:val="000000"/>
          <w:sz w:val="28"/>
        </w:rPr>
        <w:t xml:space="preserve"> Министра национальной экономики Республики Казахстан от 20 февраля 2015 года № 113 (зарегистрирован в Реестре государственных регистраций нормативных правовых актов за № 10503) (далее – Правила конкурсного отбора).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21 - в редакции приказа Министра национальной экономики РК от 24.11.2022 </w:t>
      </w:r>
      <w:r>
        <w:rPr>
          <w:rFonts w:ascii="Times New Roman"/>
          <w:b w:val="false"/>
          <w:i w:val="false"/>
          <w:color w:val="000000"/>
          <w:sz w:val="28"/>
        </w:rPr>
        <w:t>№ 87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31" w:id="2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3. Порядок определения лимита выплаты вознаграждения членам наблюдательного совета</w:t>
      </w:r>
    </w:p>
    <w:bookmarkEnd w:id="2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Заголовок главы 3 - в редакции приказа Министра национальной экономики РК от 24.11.2022 </w:t>
      </w:r>
      <w:r>
        <w:rPr>
          <w:rFonts w:ascii="Times New Roman"/>
          <w:b w:val="false"/>
          <w:i w:val="false"/>
          <w:color w:val="ff0000"/>
          <w:sz w:val="28"/>
        </w:rPr>
        <w:t>№ 87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32" w:id="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22. Уполномоченный орган соответствующей отрасли (местный исполнительный орган) после перечисления установленной части чистого дохода в бюджет определяет лимит вознаграждения членам наблюдательного совета в государственных предприятиях на праве хозяйственного ведения, который не превышает пяти процентов от части чистого дохода, оставшейся в распоряжении государственного предприятия на праве хозяйственного ведения.</w:t>
      </w:r>
    </w:p>
    <w:bookmarkEnd w:id="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Определенный лимит вознаграждения членам наблюдательного совета распределяется согласно пункту 22 настоящих Правил между членами наблюдательного совета, избираемыми в соответствии с </w:t>
      </w:r>
      <w:r>
        <w:rPr>
          <w:rFonts w:ascii="Times New Roman"/>
          <w:b w:val="false"/>
          <w:i w:val="false"/>
          <w:color w:val="000000"/>
          <w:sz w:val="28"/>
        </w:rPr>
        <w:t>Правилами</w:t>
      </w:r>
      <w:r>
        <w:rPr>
          <w:rFonts w:ascii="Times New Roman"/>
          <w:b w:val="false"/>
          <w:i w:val="false"/>
          <w:color w:val="000000"/>
          <w:sz w:val="28"/>
        </w:rPr>
        <w:t xml:space="preserve"> конкурсного отбора.</w:t>
      </w:r>
    </w:p>
    <w:bookmarkStart w:name="z33" w:id="3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23. Выплата вознаграждения членам наблюдательного совета государственного предприятия на праве хозяйственного ведения осуществляется при наличии положительного результата финансово-хозяйственной деятельности государственного предприятия на праве хозяйственного ведения по итогам работы за год. </w:t>
      </w:r>
    </w:p>
    <w:bookmarkEnd w:id="31"/>
    <w:bookmarkStart w:name="z34" w:id="3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24. Вознаграждение не выплачивается членам наблюдательного совета, являющимися государственными служащими.</w:t>
      </w:r>
    </w:p>
    <w:bookmarkEnd w:id="32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24 - в редакции приказа Министра национальной экономики РК от 24.11.2022 </w:t>
      </w:r>
      <w:r>
        <w:rPr>
          <w:rFonts w:ascii="Times New Roman"/>
          <w:b w:val="false"/>
          <w:i w:val="false"/>
          <w:color w:val="000000"/>
          <w:sz w:val="28"/>
        </w:rPr>
        <w:t>№ 87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Правилам оценки деятельности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членов наблюдательного совета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определения лимита выплаты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вознаграждения членам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наблюдательного совета</w:t>
            </w:r>
          </w:p>
        </w:tc>
      </w:tr>
    </w:tbl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форма</w:t>
      </w:r>
    </w:p>
    <w:bookmarkStart w:name="z36" w:id="3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Лист оценки деятельности</w:t>
      </w:r>
      <w:r>
        <w:br/>
      </w:r>
      <w:r>
        <w:rPr>
          <w:rFonts w:ascii="Times New Roman"/>
          <w:b/>
          <w:i w:val="false"/>
          <w:color w:val="000000"/>
        </w:rPr>
        <w:t>членов наблюдательного совета за 20__ год*</w:t>
      </w:r>
    </w:p>
    <w:bookmarkEnd w:id="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фамилия, имя, отчество (при его наличии) ________________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Организация ________________</w:t>
      </w:r>
    </w:p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  <w:tblLayout w:type="fixed"/>
      </w:tblPr>
      <w:tblGrid>
        <w:gridCol w:w="3075"/>
        <w:gridCol w:w="3075"/>
        <w:gridCol w:w="3075"/>
        <w:gridCol w:w="3075"/>
      </w:tblGrid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/>
                <w:i w:val="false"/>
                <w:color w:val="000000"/>
                <w:sz w:val="20"/>
              </w:rPr>
              <w:t>№ п/п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/>
                <w:i w:val="false"/>
                <w:color w:val="000000"/>
                <w:sz w:val="20"/>
              </w:rPr>
              <w:t>Показатели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/>
                <w:i w:val="false"/>
                <w:color w:val="000000"/>
                <w:sz w:val="20"/>
              </w:rPr>
              <w:t>Комментарии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/>
                <w:i w:val="false"/>
                <w:color w:val="000000"/>
                <w:sz w:val="20"/>
              </w:rPr>
              <w:t>Балл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/>
                <w:i w:val="false"/>
                <w:color w:val="000000"/>
                <w:sz w:val="20"/>
              </w:rPr>
              <w:t>1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/>
                <w:i w:val="false"/>
                <w:color w:val="000000"/>
                <w:sz w:val="20"/>
              </w:rPr>
              <w:t>2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/>
                <w:i w:val="false"/>
                <w:color w:val="000000"/>
                <w:sz w:val="20"/>
              </w:rPr>
              <w:t>3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/>
                <w:i w:val="false"/>
                <w:color w:val="000000"/>
                <w:sz w:val="20"/>
              </w:rPr>
              <w:t>4</w:t>
            </w:r>
          </w:p>
        </w:tc>
      </w:tr>
      <w:tr>
        <w:trPr>
          <w:trHeight w:val="30" w:hRule="atLeast"/>
        </w:trPr>
        <w:tc>
          <w:tcPr>
            <w:tcW w:w="307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1.</w:t>
            </w:r>
          </w:p>
        </w:tc>
        <w:tc>
          <w:tcPr>
            <w:tcW w:w="307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Выполнение функциональных обязанностей члена наблюдательного совета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член наблюдательного совета выполнял возложенные на него обязанности в полном объеме и вносил не менее одного предложения на каждое заседание наблюдательного совета в рамках компетенции наблюдательного совета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член наблюдательного совета выполнял возложенные на него обязанности добросовестно, но вносил предположения, не относящиеся к компетенции наблюдательного совета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член наблюдательного совета недобросовестно выполнял возложенные на него обязанности и не вносил каких-либо предложений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</w:t>
            </w:r>
          </w:p>
        </w:tc>
      </w:tr>
      <w:tr>
        <w:trPr>
          <w:trHeight w:val="30" w:hRule="atLeast"/>
        </w:trPr>
        <w:tc>
          <w:tcPr>
            <w:tcW w:w="307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2.</w:t>
            </w:r>
          </w:p>
        </w:tc>
        <w:tc>
          <w:tcPr>
            <w:tcW w:w="307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Участие члена наблюдательного совета в заседаниях наблюдательный совет государственного предприятия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член наблюдательного совета присутствовал во всех заседаниях наблюдательного совета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член наблюдательного совета участвовал в 50% и более заседаниях наблюдательного совета, но присутствовал не во всех заседаниях наблюдательного совета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0,5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член наблюдательного совета не участвовал на заседаниях наблюдательного совета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</w:t>
            </w:r>
          </w:p>
        </w:tc>
      </w:tr>
      <w:tr>
        <w:trPr>
          <w:trHeight w:val="30" w:hRule="atLeast"/>
        </w:trPr>
        <w:tc>
          <w:tcPr>
            <w:tcW w:w="307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3.</w:t>
            </w:r>
          </w:p>
        </w:tc>
        <w:tc>
          <w:tcPr>
            <w:tcW w:w="307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Участие члена наблюдательного совета в обсуждении вопросов, выносимых на наблюдательный совет государственного предприятия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
член наблюдательного совета постоянно вносил новые пути решения совершенствования деятельности государственного предприятия, которые послужили достижению поставленных целей и были приняты наблюдательным советом государственного предприятия 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член наблюдательного совета вносил предложения, которые не носили в себе принципиально новых путей решения совершенствования деятельности государственного предприятия и не были приняты наблюдательным советом государственного предприятия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1,5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член наблюдательного совета не вносил новаторские предложения, которые бы послужили достижению поставленных целей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</w:t>
            </w:r>
          </w:p>
        </w:tc>
      </w:tr>
      <w:tr>
        <w:trPr>
          <w:trHeight w:val="30" w:hRule="atLeast"/>
        </w:trPr>
        <w:tc>
          <w:tcPr>
            <w:tcW w:w="307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4.</w:t>
            </w:r>
          </w:p>
        </w:tc>
        <w:tc>
          <w:tcPr>
            <w:tcW w:w="307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Подготовка членом наблюдательного совета дополнительных материалов по вопросам, выносимым на рассмотрение наблюдательного совета государственного предприятия, в ходе обсуждения которых возникла необходимость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материалы, подготовленные членом наблюдательного совета, были качественными, представлены в полном объеме, с конкретными обоснованиями для принятия верного и обоснованного решения по рассматриваемым вопросам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материалы, подготовленные членом наблюдательного совета, не были достаточно обоснованными для принятия решения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0,5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материалы членом наблюдательного совета не представлялись на рассмотрение наблюдательного совета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</w:t>
            </w:r>
          </w:p>
        </w:tc>
      </w:tr>
      <w:tr>
        <w:trPr>
          <w:trHeight w:val="30" w:hRule="atLeast"/>
        </w:trPr>
        <w:tc>
          <w:tcPr>
            <w:tcW w:w="307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5.</w:t>
            </w:r>
          </w:p>
        </w:tc>
        <w:tc>
          <w:tcPr>
            <w:tcW w:w="3075" w:type="dxa"/>
            <w:vMerge w:val="restart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Инициативы члена наблюдательного совета, впоследствии оказавшиеся эффективными для государственного предприятия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от реализации инициативных предложений члена наблюдательного совета, государственное предприятие получило или получит определенные выгоды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3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от реализации инициативных предложений членом наблюдательного совета, государственное предприятие не получило или не получит определенных выгод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1,5</w:t>
            </w:r>
          </w:p>
        </w:tc>
      </w:tr>
      <w:tr>
        <w:trPr>
          <w:trHeight w:val="30" w:hRule="atLeast"/>
        </w:trPr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0" w:type="auto"/>
            <w:vMerge/>
            <w:tcBorders>
              <w:top w:val="nil"/>
              <w:left w:val="single" w:color="cfcfcf" w:sz="5"/>
              <w:bottom w:val="single" w:color="cfcfcf" w:sz="5"/>
              <w:right w:val="single" w:color="cfcfcf" w:sz="5"/>
            </w:tcBorders>
          </w:tcPr>
          <w:p/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инициативных предложений от члена наблюдательного совета в течение года не поступало или реализация инициативных предложений члена наблюдательного совета отрицательно повлияло на деятельность государственного предприятия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0</w:t>
            </w:r>
          </w:p>
        </w:tc>
      </w:tr>
      <w:tr>
        <w:trPr>
          <w:trHeight w:val="30" w:hRule="atLeast"/>
        </w:trPr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Итого</w:t>
            </w: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  <w:tc>
          <w:tcPr>
            <w:tcW w:w="307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</w:p>
          <w:p>
            <w:pPr>
              <w:spacing w:after="20"/>
              <w:ind w:left="20"/>
              <w:jc w:val="both"/>
            </w:pP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</w:tblPr>
      <w:tblGrid>
        <w:gridCol w:w="12300"/>
      </w:tblGrid>
      <w:tr>
        <w:trPr>
          <w:trHeight w:val="30" w:hRule="atLeast"/>
        </w:trPr>
        <w:tc>
          <w:tcPr>
            <w:tcW w:w="123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Председатель комиссии __________________________________________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       (фамилия, имя, отчество (при его наличии), подпись, дата)</w:t>
            </w:r>
          </w:p>
        </w:tc>
      </w:tr>
      <w:tr>
        <w:trPr>
          <w:trHeight w:val="30" w:hRule="atLeast"/>
        </w:trPr>
        <w:tc>
          <w:tcPr>
            <w:tcW w:w="123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Заместитель председателя комиссии________________________________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        (фамилия, имя, отчество (при его наличии), подпись, дата)</w:t>
            </w:r>
          </w:p>
        </w:tc>
      </w:tr>
      <w:tr>
        <w:trPr>
          <w:trHeight w:val="30" w:hRule="atLeast"/>
        </w:trPr>
        <w:tc>
          <w:tcPr>
            <w:tcW w:w="123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Члены комиссии ________________________________________________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          (фамилия, имя, отчество (при его наличии), подпись, дата)</w:t>
            </w:r>
          </w:p>
        </w:tc>
      </w:tr>
      <w:tr>
        <w:trPr>
          <w:trHeight w:val="30" w:hRule="atLeast"/>
        </w:trPr>
        <w:tc>
          <w:tcPr>
            <w:tcW w:w="123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Секретарь комиссии_____________________________________________</w:t>
            </w:r>
          </w:p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          (фамилия, имя, отчество (при его наличии), подпись, дата)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37" w:id="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Примечание:</w:t>
      </w:r>
    </w:p>
    <w:bookmarkEnd w:id="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* Оценка проводится на основании протоколов заседания наблюдательного совета. Протоколы заседания должны содержать ход ведения заседания, а также замечания и предложения членов наблюдательного совета, изложенные в письменном виде к заседаниям наблюдательного совета, по повестке дня и вопросам, выносимым на заседание наблюдательного совета.</w:t>
      </w:r>
    </w:p>
    <w:p>
      <w:pPr>
        <w:spacing w:after="0"/>
        <w:ind w:left="0"/>
        <w:jc w:val="left"/>
      </w:pPr>
      <w:r>
        <w:br/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				</w:t>
      </w:r>
    </w:p>
    <w:p>
      <w:pPr>
        <w:pStyle w:val="disclaimer"/>
      </w:pPr>
      <w:r>
        <w:rPr>
          <w:rFonts w:ascii="Times New Roman"/>
          <w:b w:val="false"/>
          <w:i w:val="false"/>
          <w:color w:val="000000"/>
        </w:rPr>
        <w:t>
					© 2012. РГП на ПХВ «Институт законодательства и правовой информации Республики Казахстан» Министерства юстиции Республики Казахстан
				</w:t>
      </w:r>
    </w:p>
    <w:sectPr>
      <w:pgSz w:w="11907" w:h="16839" w:code="9"/>
      <w:pgMar w:top="1440" w:right="1080" w:bottom="1440" w:left="108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basedOn w:val="DocDefaults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Times New Roman" w:hAnsi="Times New Roman" w:eastAsia="Times New Roman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Times New Roman" w:hAnsi="Times New Roman" w:eastAsia="Times New Roman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Times New Roman" w:hAnsi="Times New Roman" w:eastAsia="Times New Roman" w:cs="Times New Roma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Times New Roman" w:hAnsi="Times New Roman" w:eastAsia="Times New Roman" w:cs="Times New Roman"/>
    </w:rPr>
  </w:style>
  <w:style w:type="character" w:styleId="DefaultParagraphFont" w:default="true">
    <w:name w:val="Default Paragraph Font"/>
    <w:uiPriority w:val="1"/>
    <w:semiHidden/>
    <w:unhideWhenUsed/>
    <w:rPr>
      <w:rFonts w:ascii="Times New Roman" w:hAnsi="Times New Roman" w:eastAsia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  <w:rPr>
      <w:rFonts w:ascii="Times New Roman" w:hAnsi="Times New Roman" w:eastAsia="Times New Roman" w:cs="Times New Roman"/>
    </w:rPr>
  </w:style>
  <w:style w:type="character" w:styleId="HeaderChar" w:customStyle="true">
    <w:name w:val="Header Char"/>
    <w:basedOn w:val="DefaultParagraphFont"/>
    <w:link w:val="Header"/>
    <w:uiPriority w:val="99"/>
    <w:rsid w:val="00841CD9"/>
    <w:rPr>
      <w:rFonts w:ascii="Times New Roman" w:hAnsi="Times New Roman" w:eastAsia="Times New Roman" w:cs="Times New Roman"/>
    </w:rPr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="Times New Roman" w:hAnsi="Times New Roman" w:eastAsia="Times New Roman" w:cs="Times New Roman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="Times New Roman" w:hAnsi="Times New Roman" w:eastAsia="Times New Roman" w:cs="Times New Roman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="Times New Roman" w:hAnsi="Times New Roman" w:eastAsia="Times New Roman" w:cs="Times New Roman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="Times New Roman" w:hAnsi="Times New Roman" w:eastAsia="Times New Roman" w:cs="Times New Roman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  <w:rPr>
      <w:rFonts w:ascii="Times New Roman" w:hAnsi="Times New Roman" w:eastAsia="Times New Roman" w:cs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="Times New Roman" w:hAnsi="Times New Roman" w:eastAsia="Times New Roman" w:cs="Times New Roman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="Times New Roman" w:hAnsi="Times New Roman" w:eastAsia="Times New Roman"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="Times New Roman" w:hAnsi="Times New Roman" w:eastAsia="Times New Roman" w:cs="Times New Roman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="Times New Roman" w:hAnsi="Times New Roman" w:eastAsia="Times New Roman" w:cs="Times New Roman"/>
    </w:rPr>
  </w:style>
  <w:style w:type="character" w:styleId="Emphasis">
    <w:name w:val="Emphasis"/>
    <w:basedOn w:val="DefaultParagraphFont"/>
    <w:uiPriority w:val="20"/>
    <w:qFormat/>
    <w:rsid w:val="00D1197D"/>
    <w:rPr>
      <w:rFonts w:ascii="Times New Roman" w:hAnsi="Times New Roman" w:eastAsia="Times New Roman" w:cs="Times New Roman"/>
    </w:rPr>
  </w:style>
  <w:style w:type="character" w:styleId="Hyperlink">
    <w:name w:val="Hyperlink"/>
    <w:basedOn w:val="DefaultParagraphFont"/>
    <w:uiPriority w:val="99"/>
    <w:unhideWhenUsed/>
    <w:rPr>
      <w:rFonts w:ascii="Times New Roman" w:hAnsi="Times New Roman" w:eastAsia="Times New Roman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Times New Roman" w:hAnsi="Times New Roman" w:eastAsia="Times New Roman" w:cs="Times New Roman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rPr>
      <w:rFonts w:ascii="Times New Roman" w:hAnsi="Times New Roman" w:eastAsia="Times New Roma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rFonts w:ascii="Times New Roman" w:hAnsi="Times New Roman" w:eastAsia="Times New Roman" w:cs="Times New Roman"/>
    </w:rPr>
  </w:style>
  <w:style w:type="paragraph" w:styleId="disclaimer">
    <w:name w:val="disclaimer"/>
    <w:basedOn w:val="Normal"/>
    <w:pPr>
      <w:jc w:val="center"/>
    </w:pPr>
    <w:rPr>
      <w:sz w:val="18"/>
      <w:szCs w:val="18"/>
    </w:rPr>
  </w:style>
  <w:style w:type="paragraph" w:styleId="DocDefaults">
    <w:name w:val="DocDefaults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numbering.xml" Type="http://schemas.openxmlformats.org/officeDocument/2006/relationships/numbering" Id="rId2"/><Relationship Target="media/document_image_rId3.png" Type="http://schemas.openxmlformats.org/officeDocument/2006/relationships/image" Id="rId3"/></Relationships>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